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B942DC">
        <w:rPr>
          <w:rFonts w:eastAsia="Times New Roman" w:cs="Arial"/>
          <w:b/>
          <w:color w:val="282A2C"/>
          <w:sz w:val="28"/>
          <w:szCs w:val="28"/>
          <w:lang w:eastAsia="tr-TR"/>
        </w:rPr>
        <w:t>2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- 202</w:t>
      </w:r>
      <w:r w:rsidR="00B942DC">
        <w:rPr>
          <w:rFonts w:eastAsia="Times New Roman" w:cs="Arial"/>
          <w:b/>
          <w:color w:val="282A2C"/>
          <w:sz w:val="28"/>
          <w:szCs w:val="28"/>
          <w:lang w:eastAsia="tr-TR"/>
        </w:rPr>
        <w:t>3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="00B942DC">
        <w:rPr>
          <w:rFonts w:eastAsia="Times New Roman" w:cs="Arial"/>
          <w:b/>
          <w:color w:val="282A2C"/>
          <w:sz w:val="28"/>
          <w:szCs w:val="28"/>
          <w:lang w:eastAsia="tr-TR"/>
        </w:rPr>
        <w:t>GÜZ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YARIYILI II. YEDEK SONUÇLARI – ONLINE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B942D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06 Eylül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2022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Saat 18.00’den </w:t>
      </w:r>
      <w:r w:rsidR="00B942D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07</w:t>
      </w:r>
      <w:r w:rsidR="00BB6A1E"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B942DC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Eylül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Saat: 14.00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kayıt talebi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aşamasında </w:t>
      </w:r>
      <w:r w:rsidR="007938F5" w:rsidRPr="004A331E">
        <w:rPr>
          <w:rFonts w:eastAsia="Times New Roman" w:cs="Arial"/>
          <w:b/>
          <w:bCs/>
          <w:color w:val="FF0000"/>
          <w:sz w:val="32"/>
          <w:szCs w:val="32"/>
          <w:lang w:eastAsia="tr-TR"/>
        </w:rPr>
        <w:t>yapılmaması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gerekmektedir. 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B942D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09</w:t>
      </w:r>
      <w:r w:rsidR="00A30D4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B942D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Eylül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202</w:t>
      </w:r>
      <w:r w:rsidR="00A30D4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2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B942DC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>Cuma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.00’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y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>Ücret yatırmayan öğrencilerin kayıtları iptal edilecektir.</w:t>
      </w:r>
      <w:bookmarkStart w:id="0" w:name="_GoBack"/>
      <w:bookmarkEnd w:id="0"/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243950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B942DC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39"/>
    <w:rsid w:val="000D0AC8"/>
    <w:rsid w:val="00243950"/>
    <w:rsid w:val="002F71CA"/>
    <w:rsid w:val="0035551C"/>
    <w:rsid w:val="00403364"/>
    <w:rsid w:val="004A331E"/>
    <w:rsid w:val="004F63AC"/>
    <w:rsid w:val="005416DB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C06133"/>
    <w:rsid w:val="00D4136D"/>
    <w:rsid w:val="00E81F09"/>
    <w:rsid w:val="00E92E7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F2CD-4220-4610-BA45-27A60424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</cp:lastModifiedBy>
  <cp:revision>6</cp:revision>
  <cp:lastPrinted>2022-01-27T06:36:00Z</cp:lastPrinted>
  <dcterms:created xsi:type="dcterms:W3CDTF">2022-01-27T07:28:00Z</dcterms:created>
  <dcterms:modified xsi:type="dcterms:W3CDTF">2022-09-06T10:17:00Z</dcterms:modified>
</cp:coreProperties>
</file>